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38BF0574" w14:textId="77777777" w:rsidR="00AB5FEF"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p>
    <w:p w14:paraId="48798D7D" w14:textId="620018A9" w:rsidR="00FF213A" w:rsidRDefault="001476B1" w:rsidP="00F45374">
      <w:pPr>
        <w:jc w:val="right"/>
        <w:rPr>
          <w:rFonts w:ascii="Arial" w:hAnsi="Arial" w:cs="Arial"/>
          <w:b/>
          <w:sz w:val="32"/>
          <w:szCs w:val="32"/>
        </w:rPr>
      </w:pPr>
      <w:r>
        <w:rPr>
          <w:rFonts w:ascii="Arial" w:hAnsi="Arial" w:cs="Arial"/>
          <w:b/>
          <w:sz w:val="32"/>
          <w:szCs w:val="32"/>
        </w:rPr>
        <w:t>HR Business Partner</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2FE26CFF" w:rsidR="00573C7B" w:rsidRPr="00615FAD" w:rsidRDefault="003945D8" w:rsidP="00F45374">
      <w:pPr>
        <w:jc w:val="both"/>
        <w:rPr>
          <w:rFonts w:ascii="Arial" w:hAnsi="Arial" w:cs="Arial"/>
          <w:bCs/>
          <w:sz w:val="20"/>
          <w:szCs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sidRPr="00B76829">
        <w:rPr>
          <w:rFonts w:ascii="Arial" w:hAnsi="Arial" w:cs="Arial"/>
          <w:bCs/>
          <w:sz w:val="20"/>
          <w:szCs w:val="20"/>
        </w:rPr>
        <w:tab/>
      </w:r>
      <w:r w:rsidR="00AB5FEF" w:rsidRPr="00B76829">
        <w:rPr>
          <w:rFonts w:ascii="Arial" w:hAnsi="Arial" w:cs="Arial"/>
          <w:bCs/>
          <w:sz w:val="20"/>
          <w:szCs w:val="20"/>
        </w:rPr>
        <w:t>North or South</w:t>
      </w:r>
    </w:p>
    <w:p w14:paraId="5D27809A" w14:textId="661593F4" w:rsidR="00615FAD" w:rsidRPr="00615FAD" w:rsidRDefault="003945D8" w:rsidP="00615FAD">
      <w:pPr>
        <w:ind w:left="2880" w:hanging="2880"/>
        <w:jc w:val="both"/>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615FAD" w:rsidRPr="00615FAD">
        <w:rPr>
          <w:rFonts w:ascii="Arial" w:hAnsi="Arial" w:cs="Arial"/>
          <w:bCs/>
          <w:sz w:val="20"/>
          <w:szCs w:val="20"/>
        </w:rPr>
        <w:t>The HR Business Partner (HRBP) is a strategic adviso</w:t>
      </w:r>
      <w:r w:rsidR="00DA1C6C">
        <w:rPr>
          <w:rFonts w:ascii="Arial" w:hAnsi="Arial" w:cs="Arial"/>
          <w:bCs/>
          <w:sz w:val="20"/>
          <w:szCs w:val="20"/>
        </w:rPr>
        <w:t>r</w:t>
      </w:r>
      <w:r w:rsidR="00615FAD" w:rsidRPr="00615FAD">
        <w:rPr>
          <w:rFonts w:ascii="Arial" w:hAnsi="Arial" w:cs="Arial"/>
          <w:bCs/>
          <w:sz w:val="20"/>
          <w:szCs w:val="20"/>
        </w:rPr>
        <w:t>, partnering with senior leaders, driving people strategies that align with business objectives. The role blends operational HR expertise with strategic thinking, ensuring talent management, performance, employee engagement, and workforce planning initiatives support both immediate and long-term goals. By collaborating with Centres of Excellence (</w:t>
      </w:r>
      <w:proofErr w:type="spellStart"/>
      <w:r w:rsidR="00615FAD" w:rsidRPr="00615FAD">
        <w:rPr>
          <w:rFonts w:ascii="Arial" w:hAnsi="Arial" w:cs="Arial"/>
          <w:bCs/>
          <w:sz w:val="20"/>
          <w:szCs w:val="20"/>
        </w:rPr>
        <w:t>CoEs</w:t>
      </w:r>
      <w:proofErr w:type="spellEnd"/>
      <w:r w:rsidR="00615FAD" w:rsidRPr="00615FAD">
        <w:rPr>
          <w:rFonts w:ascii="Arial" w:hAnsi="Arial" w:cs="Arial"/>
          <w:bCs/>
          <w:sz w:val="20"/>
          <w:szCs w:val="20"/>
        </w:rPr>
        <w:t>), Shared Services, and HR</w:t>
      </w:r>
      <w:r w:rsidR="00A354C5">
        <w:rPr>
          <w:rFonts w:ascii="Arial" w:hAnsi="Arial" w:cs="Arial"/>
          <w:bCs/>
          <w:sz w:val="20"/>
          <w:szCs w:val="20"/>
        </w:rPr>
        <w:t>IS</w:t>
      </w:r>
      <w:r w:rsidR="00615FAD" w:rsidRPr="00615FAD">
        <w:rPr>
          <w:rFonts w:ascii="Arial" w:hAnsi="Arial" w:cs="Arial"/>
          <w:bCs/>
          <w:sz w:val="20"/>
          <w:szCs w:val="20"/>
        </w:rPr>
        <w:t>, the HRBP delivers an effective, data-driven HR service that enhances organisational success and employee experience.</w:t>
      </w:r>
    </w:p>
    <w:p w14:paraId="23EE1C39" w14:textId="379096C7"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615FAD">
        <w:rPr>
          <w:rFonts w:ascii="Arial" w:hAnsi="Arial" w:cs="Arial"/>
          <w:bCs/>
          <w:sz w:val="20"/>
          <w:szCs w:val="20"/>
        </w:rPr>
        <w:t>Head of HR Partnering</w:t>
      </w:r>
    </w:p>
    <w:p w14:paraId="6AFC9C53" w14:textId="40EA8A33" w:rsidR="0055436A" w:rsidRDefault="00F45374" w:rsidP="001B3258">
      <w:pPr>
        <w:spacing w:after="0" w:line="240" w:lineRule="auto"/>
        <w:jc w:val="both"/>
        <w:rPr>
          <w:rFonts w:ascii="Arial" w:hAnsi="Arial" w:cs="Arial"/>
          <w:b/>
          <w:sz w:val="24"/>
          <w:szCs w:val="32"/>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sidR="0055436A">
        <w:rPr>
          <w:rFonts w:ascii="Arial" w:hAnsi="Arial" w:cs="Arial"/>
          <w:b/>
          <w:sz w:val="24"/>
          <w:szCs w:val="32"/>
        </w:rPr>
        <w:tab/>
      </w:r>
      <w:r w:rsidR="00615FAD">
        <w:rPr>
          <w:rFonts w:ascii="Arial" w:hAnsi="Arial" w:cs="Arial"/>
          <w:bCs/>
          <w:sz w:val="20"/>
          <w:szCs w:val="20"/>
        </w:rPr>
        <w:t>N/A</w:t>
      </w:r>
    </w:p>
    <w:p w14:paraId="1CAD0317" w14:textId="77777777" w:rsidR="0055436A" w:rsidRDefault="0055436A" w:rsidP="001B3258">
      <w:pPr>
        <w:spacing w:after="0" w:line="240" w:lineRule="auto"/>
        <w:jc w:val="both"/>
        <w:rPr>
          <w:rFonts w:ascii="Arial" w:hAnsi="Arial" w:cs="Arial"/>
          <w:b/>
          <w:sz w:val="24"/>
          <w:szCs w:val="32"/>
        </w:rPr>
      </w:pPr>
    </w:p>
    <w:p w14:paraId="0BD1352F" w14:textId="6A28BAA0" w:rsidR="00F45374" w:rsidRDefault="0055436A" w:rsidP="00A354C5">
      <w:pPr>
        <w:spacing w:after="0" w:line="240" w:lineRule="auto"/>
        <w:jc w:val="both"/>
        <w:rPr>
          <w:rFonts w:ascii="Arial" w:hAnsi="Arial" w:cs="Arial"/>
          <w:bCs/>
          <w:sz w:val="20"/>
          <w:szCs w:val="24"/>
        </w:rPr>
      </w:pPr>
      <w:r>
        <w:rPr>
          <w:rFonts w:ascii="Arial" w:hAnsi="Arial" w:cs="Arial"/>
          <w:b/>
          <w:sz w:val="24"/>
          <w:szCs w:val="32"/>
        </w:rPr>
        <w:t>REGULAR CONTACTS:</w:t>
      </w:r>
      <w:r w:rsidR="00F45374">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A354C5">
        <w:rPr>
          <w:rFonts w:ascii="Arial" w:hAnsi="Arial" w:cs="Arial"/>
          <w:bCs/>
          <w:sz w:val="20"/>
          <w:szCs w:val="24"/>
        </w:rPr>
        <w:t>External Legal Teams</w:t>
      </w:r>
    </w:p>
    <w:p w14:paraId="20F9BD5A" w14:textId="77777777" w:rsidR="00A354C5" w:rsidRDefault="00A354C5" w:rsidP="00A354C5">
      <w:pPr>
        <w:spacing w:after="0" w:line="240" w:lineRule="auto"/>
        <w:jc w:val="both"/>
        <w:rPr>
          <w:rFonts w:ascii="Arial" w:hAnsi="Arial" w:cs="Arial"/>
          <w:bCs/>
          <w:sz w:val="20"/>
          <w:szCs w:val="24"/>
        </w:rPr>
      </w:pPr>
    </w:p>
    <w:p w14:paraId="144638F7" w14:textId="4EF970C5" w:rsidR="001B3258" w:rsidRDefault="001B3258" w:rsidP="001B3258">
      <w:pPr>
        <w:spacing w:after="0" w:line="240" w:lineRule="auto"/>
        <w:ind w:left="2160" w:firstLine="720"/>
        <w:jc w:val="both"/>
        <w:rPr>
          <w:rFonts w:ascii="Arial" w:hAnsi="Arial" w:cs="Arial"/>
          <w:bCs/>
          <w:sz w:val="20"/>
          <w:szCs w:val="24"/>
        </w:rPr>
      </w:pPr>
      <w:r w:rsidRPr="00F45374">
        <w:rPr>
          <w:rFonts w:ascii="Arial" w:hAnsi="Arial" w:cs="Arial"/>
          <w:b/>
          <w:sz w:val="20"/>
          <w:szCs w:val="24"/>
        </w:rPr>
        <w:t>Internal</w:t>
      </w:r>
      <w:r>
        <w:rPr>
          <w:rFonts w:ascii="Arial" w:hAnsi="Arial" w:cs="Arial"/>
          <w:bCs/>
          <w:sz w:val="20"/>
          <w:szCs w:val="24"/>
        </w:rPr>
        <w:tab/>
      </w:r>
      <w:r w:rsidR="00A354C5">
        <w:rPr>
          <w:rFonts w:ascii="Arial" w:hAnsi="Arial" w:cs="Arial"/>
          <w:bCs/>
          <w:sz w:val="20"/>
          <w:szCs w:val="24"/>
        </w:rPr>
        <w:t>Senior Leaders and Business Managers</w:t>
      </w:r>
    </w:p>
    <w:p w14:paraId="65041F04" w14:textId="6CFFB418" w:rsidR="001B3258" w:rsidRDefault="00A354C5" w:rsidP="001B3258">
      <w:pPr>
        <w:spacing w:after="0" w:line="240" w:lineRule="auto"/>
        <w:ind w:left="4320"/>
        <w:jc w:val="both"/>
        <w:rPr>
          <w:rFonts w:ascii="Arial" w:hAnsi="Arial" w:cs="Arial"/>
          <w:bCs/>
          <w:sz w:val="20"/>
          <w:szCs w:val="24"/>
        </w:rPr>
      </w:pPr>
      <w:r>
        <w:rPr>
          <w:rFonts w:ascii="Arial" w:hAnsi="Arial" w:cs="Arial"/>
          <w:bCs/>
          <w:sz w:val="20"/>
          <w:szCs w:val="24"/>
        </w:rPr>
        <w:t>Employees &amp; Line Managers</w:t>
      </w:r>
    </w:p>
    <w:p w14:paraId="0DD4ADE7" w14:textId="48FCCFEF" w:rsidR="00A354C5" w:rsidRDefault="00A354C5" w:rsidP="001B3258">
      <w:pPr>
        <w:spacing w:after="0" w:line="240" w:lineRule="auto"/>
        <w:ind w:left="4320"/>
        <w:jc w:val="both"/>
        <w:rPr>
          <w:rFonts w:ascii="Arial" w:hAnsi="Arial" w:cs="Arial"/>
          <w:bCs/>
          <w:sz w:val="20"/>
          <w:szCs w:val="24"/>
        </w:rPr>
      </w:pPr>
      <w:r>
        <w:rPr>
          <w:rFonts w:ascii="Arial" w:hAnsi="Arial" w:cs="Arial"/>
          <w:bCs/>
          <w:sz w:val="20"/>
          <w:szCs w:val="24"/>
        </w:rPr>
        <w:t>HR Leadership</w:t>
      </w:r>
    </w:p>
    <w:p w14:paraId="1B38FF39" w14:textId="0145ED9C" w:rsidR="00A354C5" w:rsidRDefault="00A354C5" w:rsidP="001B3258">
      <w:pPr>
        <w:spacing w:after="0" w:line="240" w:lineRule="auto"/>
        <w:ind w:left="4320"/>
        <w:jc w:val="both"/>
        <w:rPr>
          <w:rFonts w:ascii="Arial" w:hAnsi="Arial" w:cs="Arial"/>
          <w:bCs/>
          <w:sz w:val="20"/>
          <w:szCs w:val="24"/>
        </w:rPr>
      </w:pPr>
      <w:r>
        <w:rPr>
          <w:rFonts w:ascii="Arial" w:hAnsi="Arial" w:cs="Arial"/>
          <w:bCs/>
          <w:sz w:val="20"/>
          <w:szCs w:val="24"/>
        </w:rPr>
        <w:t>Centres of Excellence (</w:t>
      </w:r>
      <w:proofErr w:type="spellStart"/>
      <w:r>
        <w:rPr>
          <w:rFonts w:ascii="Arial" w:hAnsi="Arial" w:cs="Arial"/>
          <w:bCs/>
          <w:sz w:val="20"/>
          <w:szCs w:val="24"/>
        </w:rPr>
        <w:t>CoEs</w:t>
      </w:r>
      <w:proofErr w:type="spellEnd"/>
    </w:p>
    <w:p w14:paraId="43B86B7B" w14:textId="5F9966F4" w:rsidR="00A354C5" w:rsidRDefault="00A354C5" w:rsidP="001B3258">
      <w:pPr>
        <w:spacing w:after="0" w:line="240" w:lineRule="auto"/>
        <w:ind w:left="4320"/>
        <w:jc w:val="both"/>
        <w:rPr>
          <w:rFonts w:ascii="Arial" w:hAnsi="Arial" w:cs="Arial"/>
          <w:bCs/>
          <w:sz w:val="20"/>
          <w:szCs w:val="24"/>
        </w:rPr>
      </w:pPr>
      <w:r>
        <w:rPr>
          <w:rFonts w:ascii="Arial" w:hAnsi="Arial" w:cs="Arial"/>
          <w:bCs/>
          <w:sz w:val="20"/>
          <w:szCs w:val="24"/>
        </w:rPr>
        <w:t>Shared Services Team</w:t>
      </w:r>
    </w:p>
    <w:p w14:paraId="3EE391F2" w14:textId="12D5D3F6" w:rsidR="00A354C5" w:rsidRDefault="00A354C5" w:rsidP="001B3258">
      <w:pPr>
        <w:spacing w:after="0" w:line="240" w:lineRule="auto"/>
        <w:ind w:left="4320"/>
        <w:jc w:val="both"/>
        <w:rPr>
          <w:rFonts w:ascii="Arial" w:hAnsi="Arial" w:cs="Arial"/>
          <w:bCs/>
          <w:sz w:val="20"/>
          <w:szCs w:val="24"/>
        </w:rPr>
      </w:pPr>
      <w:r>
        <w:rPr>
          <w:rFonts w:ascii="Arial" w:hAnsi="Arial" w:cs="Arial"/>
          <w:bCs/>
          <w:sz w:val="20"/>
          <w:szCs w:val="24"/>
        </w:rPr>
        <w:t>Legal and Compliance Teams</w:t>
      </w:r>
    </w:p>
    <w:p w14:paraId="26B1F665" w14:textId="77777777" w:rsidR="001B3258" w:rsidRPr="00F45374" w:rsidRDefault="001B3258" w:rsidP="00F45374">
      <w:pPr>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73FC5F9A" w14:textId="77777777" w:rsidR="00A354C5" w:rsidRPr="00A354C5" w:rsidRDefault="00A354C5" w:rsidP="00A354C5">
      <w:pPr>
        <w:jc w:val="both"/>
        <w:rPr>
          <w:rFonts w:ascii="Arial" w:hAnsi="Arial" w:cs="Arial"/>
          <w:b/>
          <w:bCs/>
          <w:sz w:val="20"/>
          <w:szCs w:val="20"/>
        </w:rPr>
      </w:pPr>
      <w:r w:rsidRPr="00A354C5">
        <w:rPr>
          <w:rFonts w:ascii="Arial" w:hAnsi="Arial" w:cs="Arial"/>
          <w:b/>
          <w:bCs/>
          <w:sz w:val="20"/>
          <w:szCs w:val="20"/>
        </w:rPr>
        <w:t>HR Strategy &amp; Business Alignment</w:t>
      </w:r>
    </w:p>
    <w:p w14:paraId="33EC9D5E" w14:textId="77777777" w:rsidR="00A354C5" w:rsidRPr="00A354C5" w:rsidRDefault="00A354C5" w:rsidP="00A354C5">
      <w:pPr>
        <w:numPr>
          <w:ilvl w:val="0"/>
          <w:numId w:val="39"/>
        </w:numPr>
        <w:jc w:val="both"/>
        <w:rPr>
          <w:rFonts w:ascii="Arial" w:hAnsi="Arial" w:cs="Arial"/>
          <w:bCs/>
          <w:sz w:val="20"/>
          <w:szCs w:val="20"/>
        </w:rPr>
      </w:pPr>
      <w:r w:rsidRPr="00A354C5">
        <w:rPr>
          <w:rFonts w:ascii="Arial" w:hAnsi="Arial" w:cs="Arial"/>
          <w:bCs/>
          <w:sz w:val="20"/>
          <w:szCs w:val="20"/>
        </w:rPr>
        <w:t>Partner with senior leaders to understand business priorities and develop people strategies that drive organisational success.</w:t>
      </w:r>
    </w:p>
    <w:p w14:paraId="175DF3E5" w14:textId="77777777" w:rsidR="00A354C5" w:rsidRPr="00A354C5" w:rsidRDefault="00A354C5" w:rsidP="00A354C5">
      <w:pPr>
        <w:numPr>
          <w:ilvl w:val="0"/>
          <w:numId w:val="39"/>
        </w:numPr>
        <w:jc w:val="both"/>
        <w:rPr>
          <w:rFonts w:ascii="Arial" w:hAnsi="Arial" w:cs="Arial"/>
          <w:bCs/>
          <w:sz w:val="20"/>
          <w:szCs w:val="20"/>
        </w:rPr>
      </w:pPr>
      <w:r w:rsidRPr="00A354C5">
        <w:rPr>
          <w:rFonts w:ascii="Arial" w:hAnsi="Arial" w:cs="Arial"/>
          <w:bCs/>
          <w:sz w:val="20"/>
          <w:szCs w:val="20"/>
        </w:rPr>
        <w:t>Align HR initiatives with business objectives, ensuring workforce planning supports long-term growth and business continuity.</w:t>
      </w:r>
    </w:p>
    <w:p w14:paraId="0A625C61" w14:textId="2B323B49" w:rsidR="00A354C5" w:rsidRPr="00A354C5" w:rsidRDefault="00A354C5" w:rsidP="00A354C5">
      <w:pPr>
        <w:numPr>
          <w:ilvl w:val="0"/>
          <w:numId w:val="39"/>
        </w:numPr>
        <w:jc w:val="both"/>
        <w:rPr>
          <w:rFonts w:ascii="Arial" w:hAnsi="Arial" w:cs="Arial"/>
          <w:bCs/>
          <w:sz w:val="20"/>
          <w:szCs w:val="20"/>
        </w:rPr>
      </w:pPr>
      <w:r w:rsidRPr="00A354C5">
        <w:rPr>
          <w:rFonts w:ascii="Arial" w:hAnsi="Arial" w:cs="Arial"/>
          <w:bCs/>
          <w:sz w:val="20"/>
          <w:szCs w:val="20"/>
        </w:rPr>
        <w:t>Work with HR</w:t>
      </w:r>
      <w:r>
        <w:rPr>
          <w:rFonts w:ascii="Arial" w:hAnsi="Arial" w:cs="Arial"/>
          <w:bCs/>
          <w:sz w:val="20"/>
          <w:szCs w:val="20"/>
        </w:rPr>
        <w:t>IS</w:t>
      </w:r>
      <w:r w:rsidRPr="00A354C5">
        <w:rPr>
          <w:rFonts w:ascii="Arial" w:hAnsi="Arial" w:cs="Arial"/>
          <w:bCs/>
          <w:sz w:val="20"/>
          <w:szCs w:val="20"/>
        </w:rPr>
        <w:t xml:space="preserve"> to leverage data-driven insights that inform HR decision-making and highlight areas </w:t>
      </w:r>
      <w:r>
        <w:rPr>
          <w:rFonts w:ascii="Arial" w:hAnsi="Arial" w:cs="Arial"/>
          <w:bCs/>
          <w:sz w:val="20"/>
          <w:szCs w:val="20"/>
        </w:rPr>
        <w:t>of focus</w:t>
      </w:r>
      <w:r w:rsidRPr="00A354C5">
        <w:rPr>
          <w:rFonts w:ascii="Arial" w:hAnsi="Arial" w:cs="Arial"/>
          <w:bCs/>
          <w:sz w:val="20"/>
          <w:szCs w:val="20"/>
        </w:rPr>
        <w:t>.</w:t>
      </w:r>
    </w:p>
    <w:p w14:paraId="7A7EB3F3" w14:textId="77777777" w:rsidR="00A354C5" w:rsidRDefault="00A354C5" w:rsidP="00A354C5">
      <w:pPr>
        <w:numPr>
          <w:ilvl w:val="0"/>
          <w:numId w:val="39"/>
        </w:numPr>
        <w:jc w:val="both"/>
        <w:rPr>
          <w:rFonts w:ascii="Arial" w:hAnsi="Arial" w:cs="Arial"/>
          <w:bCs/>
          <w:sz w:val="20"/>
          <w:szCs w:val="20"/>
        </w:rPr>
      </w:pPr>
      <w:r w:rsidRPr="00A354C5">
        <w:rPr>
          <w:rFonts w:ascii="Arial" w:hAnsi="Arial" w:cs="Arial"/>
          <w:bCs/>
          <w:sz w:val="20"/>
          <w:szCs w:val="20"/>
        </w:rPr>
        <w:t>Act as a champion for HR best practices and continuous improvement within the business, ensuring HR is seen as a proactive and value-adding function.</w:t>
      </w:r>
    </w:p>
    <w:p w14:paraId="5A1334BF" w14:textId="77777777" w:rsidR="00A354C5" w:rsidRDefault="00A354C5" w:rsidP="00A354C5">
      <w:pPr>
        <w:jc w:val="both"/>
        <w:rPr>
          <w:rFonts w:ascii="Arial" w:hAnsi="Arial" w:cs="Arial"/>
          <w:bCs/>
          <w:sz w:val="20"/>
          <w:szCs w:val="20"/>
        </w:rPr>
      </w:pPr>
    </w:p>
    <w:p w14:paraId="53B6CA30" w14:textId="77777777" w:rsidR="00A354C5" w:rsidRDefault="00A354C5" w:rsidP="00A354C5">
      <w:pPr>
        <w:jc w:val="both"/>
        <w:rPr>
          <w:rFonts w:ascii="Arial" w:hAnsi="Arial" w:cs="Arial"/>
          <w:bCs/>
          <w:sz w:val="20"/>
          <w:szCs w:val="20"/>
        </w:rPr>
      </w:pPr>
    </w:p>
    <w:p w14:paraId="52AD202A" w14:textId="77777777" w:rsidR="00A354C5" w:rsidRDefault="00A354C5" w:rsidP="00A354C5">
      <w:pPr>
        <w:jc w:val="both"/>
        <w:rPr>
          <w:rFonts w:ascii="Arial" w:hAnsi="Arial" w:cs="Arial"/>
          <w:bCs/>
          <w:sz w:val="20"/>
          <w:szCs w:val="20"/>
        </w:rPr>
      </w:pPr>
    </w:p>
    <w:p w14:paraId="5D679A41" w14:textId="77777777" w:rsidR="00A354C5" w:rsidRPr="00A354C5" w:rsidRDefault="00A354C5" w:rsidP="00A354C5">
      <w:pPr>
        <w:jc w:val="both"/>
        <w:rPr>
          <w:rFonts w:ascii="Arial" w:hAnsi="Arial" w:cs="Arial"/>
          <w:b/>
          <w:bCs/>
          <w:sz w:val="20"/>
          <w:szCs w:val="20"/>
        </w:rPr>
      </w:pPr>
      <w:r w:rsidRPr="00A354C5">
        <w:rPr>
          <w:rFonts w:ascii="Arial" w:hAnsi="Arial" w:cs="Arial"/>
          <w:b/>
          <w:bCs/>
          <w:sz w:val="20"/>
          <w:szCs w:val="20"/>
        </w:rPr>
        <w:t>Talent &amp; Performance Management</w:t>
      </w:r>
    </w:p>
    <w:p w14:paraId="6A959B35" w14:textId="77777777" w:rsidR="00A354C5" w:rsidRPr="00A354C5" w:rsidRDefault="00A354C5" w:rsidP="00A354C5">
      <w:pPr>
        <w:numPr>
          <w:ilvl w:val="0"/>
          <w:numId w:val="40"/>
        </w:numPr>
        <w:jc w:val="both"/>
        <w:rPr>
          <w:rFonts w:ascii="Arial" w:hAnsi="Arial" w:cs="Arial"/>
          <w:bCs/>
          <w:sz w:val="20"/>
          <w:szCs w:val="20"/>
        </w:rPr>
      </w:pPr>
      <w:r w:rsidRPr="00A354C5">
        <w:rPr>
          <w:rFonts w:ascii="Arial" w:hAnsi="Arial" w:cs="Arial"/>
          <w:bCs/>
          <w:sz w:val="20"/>
          <w:szCs w:val="20"/>
        </w:rPr>
        <w:t xml:space="preserve">Support talent acquisition efforts in collaboration with </w:t>
      </w:r>
      <w:proofErr w:type="spellStart"/>
      <w:r w:rsidRPr="00A354C5">
        <w:rPr>
          <w:rFonts w:ascii="Arial" w:hAnsi="Arial" w:cs="Arial"/>
          <w:bCs/>
          <w:sz w:val="20"/>
          <w:szCs w:val="20"/>
        </w:rPr>
        <w:t>CoEs</w:t>
      </w:r>
      <w:proofErr w:type="spellEnd"/>
      <w:r w:rsidRPr="00A354C5">
        <w:rPr>
          <w:rFonts w:ascii="Arial" w:hAnsi="Arial" w:cs="Arial"/>
          <w:bCs/>
          <w:sz w:val="20"/>
          <w:szCs w:val="20"/>
        </w:rPr>
        <w:t xml:space="preserve"> to attract and retain top talent, ensuring hiring practices align with business needs.</w:t>
      </w:r>
    </w:p>
    <w:p w14:paraId="08703A2A" w14:textId="77777777" w:rsidR="00A354C5" w:rsidRPr="00A354C5" w:rsidRDefault="00A354C5" w:rsidP="00A354C5">
      <w:pPr>
        <w:numPr>
          <w:ilvl w:val="0"/>
          <w:numId w:val="40"/>
        </w:numPr>
        <w:jc w:val="both"/>
        <w:rPr>
          <w:rFonts w:ascii="Arial" w:hAnsi="Arial" w:cs="Arial"/>
          <w:bCs/>
          <w:sz w:val="20"/>
          <w:szCs w:val="20"/>
        </w:rPr>
      </w:pPr>
      <w:r w:rsidRPr="00A354C5">
        <w:rPr>
          <w:rFonts w:ascii="Arial" w:hAnsi="Arial" w:cs="Arial"/>
          <w:bCs/>
          <w:sz w:val="20"/>
          <w:szCs w:val="20"/>
        </w:rPr>
        <w:t>Implement performance management frameworks, coaching managers on feedback, goal setting, and development planning.</w:t>
      </w:r>
    </w:p>
    <w:p w14:paraId="5474250A" w14:textId="47D6421D" w:rsidR="00A354C5" w:rsidRPr="00A354C5" w:rsidRDefault="00A63112" w:rsidP="00A354C5">
      <w:pPr>
        <w:numPr>
          <w:ilvl w:val="0"/>
          <w:numId w:val="40"/>
        </w:numPr>
        <w:jc w:val="both"/>
        <w:rPr>
          <w:rFonts w:ascii="Arial" w:hAnsi="Arial" w:cs="Arial"/>
          <w:bCs/>
          <w:sz w:val="20"/>
          <w:szCs w:val="20"/>
        </w:rPr>
      </w:pPr>
      <w:r>
        <w:rPr>
          <w:rFonts w:ascii="Arial" w:hAnsi="Arial" w:cs="Arial"/>
          <w:bCs/>
          <w:sz w:val="20"/>
          <w:szCs w:val="20"/>
        </w:rPr>
        <w:t>Support</w:t>
      </w:r>
      <w:r w:rsidR="00A354C5" w:rsidRPr="00A354C5">
        <w:rPr>
          <w:rFonts w:ascii="Arial" w:hAnsi="Arial" w:cs="Arial"/>
          <w:bCs/>
          <w:sz w:val="20"/>
          <w:szCs w:val="20"/>
        </w:rPr>
        <w:t xml:space="preserve"> succession planning discussions and career development initiatives to ensure workforce readiness and leadership pipeline sustainability.</w:t>
      </w:r>
    </w:p>
    <w:p w14:paraId="06BDCAED" w14:textId="77777777" w:rsidR="00A354C5" w:rsidRPr="00A354C5" w:rsidRDefault="00A354C5" w:rsidP="00A354C5">
      <w:pPr>
        <w:numPr>
          <w:ilvl w:val="0"/>
          <w:numId w:val="40"/>
        </w:numPr>
        <w:jc w:val="both"/>
        <w:rPr>
          <w:rFonts w:ascii="Arial" w:hAnsi="Arial" w:cs="Arial"/>
          <w:bCs/>
          <w:sz w:val="20"/>
          <w:szCs w:val="20"/>
        </w:rPr>
      </w:pPr>
      <w:r w:rsidRPr="00A354C5">
        <w:rPr>
          <w:rFonts w:ascii="Arial" w:hAnsi="Arial" w:cs="Arial"/>
          <w:bCs/>
          <w:sz w:val="20"/>
          <w:szCs w:val="20"/>
        </w:rPr>
        <w:t>Provide guidance on organisational design and job role development to enhance productivity and efficiency.</w:t>
      </w:r>
    </w:p>
    <w:p w14:paraId="2D8C34FE" w14:textId="77777777" w:rsidR="00A354C5" w:rsidRPr="00A354C5" w:rsidRDefault="00A354C5" w:rsidP="00A354C5">
      <w:pPr>
        <w:jc w:val="both"/>
        <w:rPr>
          <w:rFonts w:ascii="Arial" w:hAnsi="Arial" w:cs="Arial"/>
          <w:b/>
          <w:bCs/>
          <w:sz w:val="20"/>
          <w:szCs w:val="20"/>
        </w:rPr>
      </w:pPr>
      <w:r w:rsidRPr="00A354C5">
        <w:rPr>
          <w:rFonts w:ascii="Arial" w:hAnsi="Arial" w:cs="Arial"/>
          <w:b/>
          <w:bCs/>
          <w:sz w:val="20"/>
          <w:szCs w:val="20"/>
        </w:rPr>
        <w:t>Employee Engagement &amp; Change Management</w:t>
      </w:r>
    </w:p>
    <w:p w14:paraId="76D9CF9C" w14:textId="77777777" w:rsidR="00A354C5" w:rsidRPr="00A354C5" w:rsidRDefault="00A354C5" w:rsidP="00A354C5">
      <w:pPr>
        <w:numPr>
          <w:ilvl w:val="0"/>
          <w:numId w:val="41"/>
        </w:numPr>
        <w:jc w:val="both"/>
        <w:rPr>
          <w:rFonts w:ascii="Arial" w:hAnsi="Arial" w:cs="Arial"/>
          <w:bCs/>
          <w:sz w:val="20"/>
          <w:szCs w:val="20"/>
        </w:rPr>
      </w:pPr>
      <w:r w:rsidRPr="00A354C5">
        <w:rPr>
          <w:rFonts w:ascii="Arial" w:hAnsi="Arial" w:cs="Arial"/>
          <w:bCs/>
          <w:sz w:val="20"/>
          <w:szCs w:val="20"/>
        </w:rPr>
        <w:t>Drive initiatives to enhance employee engagement, workplace culture, and retention through data-led approaches.</w:t>
      </w:r>
    </w:p>
    <w:p w14:paraId="1CFE7D9F" w14:textId="77777777" w:rsidR="00A354C5" w:rsidRPr="00A354C5" w:rsidRDefault="00A354C5" w:rsidP="00A354C5">
      <w:pPr>
        <w:numPr>
          <w:ilvl w:val="0"/>
          <w:numId w:val="41"/>
        </w:numPr>
        <w:jc w:val="both"/>
        <w:rPr>
          <w:rFonts w:ascii="Arial" w:hAnsi="Arial" w:cs="Arial"/>
          <w:bCs/>
          <w:sz w:val="20"/>
          <w:szCs w:val="20"/>
        </w:rPr>
      </w:pPr>
      <w:r w:rsidRPr="00A354C5">
        <w:rPr>
          <w:rFonts w:ascii="Arial" w:hAnsi="Arial" w:cs="Arial"/>
          <w:bCs/>
          <w:sz w:val="20"/>
          <w:szCs w:val="20"/>
        </w:rPr>
        <w:t>Support leaders in managing change effectively, including organisational restructuring, mergers, or process transformations, ensuring smooth transitions and employee buy-in.</w:t>
      </w:r>
    </w:p>
    <w:p w14:paraId="6A26109B" w14:textId="77777777" w:rsidR="00A354C5" w:rsidRPr="00A354C5" w:rsidRDefault="00A354C5" w:rsidP="00A354C5">
      <w:pPr>
        <w:numPr>
          <w:ilvl w:val="0"/>
          <w:numId w:val="41"/>
        </w:numPr>
        <w:jc w:val="both"/>
        <w:rPr>
          <w:rFonts w:ascii="Arial" w:hAnsi="Arial" w:cs="Arial"/>
          <w:bCs/>
          <w:sz w:val="20"/>
          <w:szCs w:val="20"/>
        </w:rPr>
      </w:pPr>
      <w:r w:rsidRPr="00A354C5">
        <w:rPr>
          <w:rFonts w:ascii="Arial" w:hAnsi="Arial" w:cs="Arial"/>
          <w:bCs/>
          <w:sz w:val="20"/>
          <w:szCs w:val="20"/>
        </w:rPr>
        <w:t>Act as a key stakeholder in internal communication strategies, ensuring employees are well-informed and aligned with business goals.</w:t>
      </w:r>
    </w:p>
    <w:p w14:paraId="5157EDF6" w14:textId="77777777" w:rsidR="00A354C5" w:rsidRDefault="00A354C5" w:rsidP="00A354C5">
      <w:pPr>
        <w:numPr>
          <w:ilvl w:val="0"/>
          <w:numId w:val="41"/>
        </w:numPr>
        <w:jc w:val="both"/>
        <w:rPr>
          <w:rFonts w:ascii="Arial" w:hAnsi="Arial" w:cs="Arial"/>
          <w:bCs/>
          <w:sz w:val="20"/>
          <w:szCs w:val="20"/>
        </w:rPr>
      </w:pPr>
      <w:r w:rsidRPr="00A354C5">
        <w:rPr>
          <w:rFonts w:ascii="Arial" w:hAnsi="Arial" w:cs="Arial"/>
          <w:bCs/>
          <w:sz w:val="20"/>
          <w:szCs w:val="20"/>
        </w:rPr>
        <w:t>Work closely with leadership to build a positive work environment where employees feel valued and supported.</w:t>
      </w:r>
    </w:p>
    <w:p w14:paraId="2E3863E6" w14:textId="77777777" w:rsidR="00A63112" w:rsidRPr="00A63112" w:rsidRDefault="00A63112" w:rsidP="00A63112">
      <w:pPr>
        <w:jc w:val="both"/>
        <w:rPr>
          <w:rFonts w:ascii="Arial" w:hAnsi="Arial" w:cs="Arial"/>
          <w:b/>
          <w:bCs/>
          <w:sz w:val="20"/>
          <w:szCs w:val="20"/>
        </w:rPr>
      </w:pPr>
      <w:r w:rsidRPr="00A63112">
        <w:rPr>
          <w:rFonts w:ascii="Arial" w:hAnsi="Arial" w:cs="Arial"/>
          <w:b/>
          <w:bCs/>
          <w:sz w:val="20"/>
          <w:szCs w:val="20"/>
        </w:rPr>
        <w:t>HR Operations &amp; Compliance</w:t>
      </w:r>
    </w:p>
    <w:p w14:paraId="445D46D2" w14:textId="77777777" w:rsidR="00A63112" w:rsidRPr="00A63112" w:rsidRDefault="00A63112" w:rsidP="00A63112">
      <w:pPr>
        <w:numPr>
          <w:ilvl w:val="0"/>
          <w:numId w:val="42"/>
        </w:numPr>
        <w:jc w:val="both"/>
        <w:rPr>
          <w:rFonts w:ascii="Arial" w:hAnsi="Arial" w:cs="Arial"/>
          <w:bCs/>
          <w:sz w:val="20"/>
          <w:szCs w:val="20"/>
        </w:rPr>
      </w:pPr>
      <w:r w:rsidRPr="00A63112">
        <w:rPr>
          <w:rFonts w:ascii="Arial" w:hAnsi="Arial" w:cs="Arial"/>
          <w:bCs/>
          <w:sz w:val="20"/>
          <w:szCs w:val="20"/>
        </w:rPr>
        <w:t>Ensure HR policies and practices comply with employment law, industry standards, and best practices.</w:t>
      </w:r>
    </w:p>
    <w:p w14:paraId="4972BF14" w14:textId="77777777" w:rsidR="00A63112" w:rsidRPr="00A63112" w:rsidRDefault="00A63112" w:rsidP="00A63112">
      <w:pPr>
        <w:numPr>
          <w:ilvl w:val="0"/>
          <w:numId w:val="42"/>
        </w:numPr>
        <w:jc w:val="both"/>
        <w:rPr>
          <w:rFonts w:ascii="Arial" w:hAnsi="Arial" w:cs="Arial"/>
          <w:bCs/>
          <w:sz w:val="20"/>
          <w:szCs w:val="20"/>
        </w:rPr>
      </w:pPr>
      <w:r w:rsidRPr="00A63112">
        <w:rPr>
          <w:rFonts w:ascii="Arial" w:hAnsi="Arial" w:cs="Arial"/>
          <w:bCs/>
          <w:sz w:val="20"/>
          <w:szCs w:val="20"/>
        </w:rPr>
        <w:t>Work closely with Shared Services to streamline HR processes and free up time for strategic initiatives, ensuring operational efficiency.</w:t>
      </w:r>
    </w:p>
    <w:p w14:paraId="52194578" w14:textId="77777777" w:rsidR="00A63112" w:rsidRPr="00A63112" w:rsidRDefault="00A63112" w:rsidP="00A63112">
      <w:pPr>
        <w:numPr>
          <w:ilvl w:val="0"/>
          <w:numId w:val="42"/>
        </w:numPr>
        <w:jc w:val="both"/>
        <w:rPr>
          <w:rFonts w:ascii="Arial" w:hAnsi="Arial" w:cs="Arial"/>
          <w:bCs/>
          <w:sz w:val="20"/>
          <w:szCs w:val="20"/>
        </w:rPr>
      </w:pPr>
      <w:r w:rsidRPr="00A63112">
        <w:rPr>
          <w:rFonts w:ascii="Arial" w:hAnsi="Arial" w:cs="Arial"/>
          <w:bCs/>
          <w:sz w:val="20"/>
          <w:szCs w:val="20"/>
        </w:rPr>
        <w:t>Provide expert advice and manage complex employee relations cases, ensuring a fair, transparent, and consistent approach to issue resolution.</w:t>
      </w:r>
    </w:p>
    <w:p w14:paraId="2E8AF951" w14:textId="77777777" w:rsidR="00A63112" w:rsidRPr="00A63112" w:rsidRDefault="00A63112" w:rsidP="00A63112">
      <w:pPr>
        <w:numPr>
          <w:ilvl w:val="0"/>
          <w:numId w:val="42"/>
        </w:numPr>
        <w:jc w:val="both"/>
        <w:rPr>
          <w:rFonts w:ascii="Arial" w:hAnsi="Arial" w:cs="Arial"/>
          <w:bCs/>
          <w:sz w:val="20"/>
          <w:szCs w:val="20"/>
        </w:rPr>
      </w:pPr>
      <w:r w:rsidRPr="00A63112">
        <w:rPr>
          <w:rFonts w:ascii="Arial" w:hAnsi="Arial" w:cs="Arial"/>
          <w:bCs/>
          <w:sz w:val="20"/>
          <w:szCs w:val="20"/>
        </w:rPr>
        <w:t>Monitor HR compliance risks and proactively address potential challenges before they escalate.</w:t>
      </w:r>
    </w:p>
    <w:p w14:paraId="4EC4F42D" w14:textId="77777777" w:rsidR="00A63112" w:rsidRPr="00A63112" w:rsidRDefault="00A63112" w:rsidP="00A63112">
      <w:pPr>
        <w:jc w:val="both"/>
        <w:rPr>
          <w:rFonts w:ascii="Arial" w:hAnsi="Arial" w:cs="Arial"/>
          <w:b/>
          <w:bCs/>
          <w:sz w:val="20"/>
          <w:szCs w:val="20"/>
        </w:rPr>
      </w:pPr>
      <w:r w:rsidRPr="00A63112">
        <w:rPr>
          <w:rFonts w:ascii="Arial" w:hAnsi="Arial" w:cs="Arial"/>
          <w:b/>
          <w:bCs/>
          <w:sz w:val="20"/>
          <w:szCs w:val="20"/>
        </w:rPr>
        <w:t>Upskilling &amp; Capability Building</w:t>
      </w:r>
    </w:p>
    <w:p w14:paraId="74D85476" w14:textId="77777777" w:rsidR="00A63112" w:rsidRPr="00A63112" w:rsidRDefault="00A63112" w:rsidP="00A63112">
      <w:pPr>
        <w:numPr>
          <w:ilvl w:val="0"/>
          <w:numId w:val="43"/>
        </w:numPr>
        <w:jc w:val="both"/>
        <w:rPr>
          <w:rFonts w:ascii="Arial" w:hAnsi="Arial" w:cs="Arial"/>
          <w:bCs/>
          <w:sz w:val="20"/>
          <w:szCs w:val="20"/>
        </w:rPr>
      </w:pPr>
      <w:r w:rsidRPr="00A63112">
        <w:rPr>
          <w:rFonts w:ascii="Arial" w:hAnsi="Arial" w:cs="Arial"/>
          <w:bCs/>
          <w:sz w:val="20"/>
          <w:szCs w:val="20"/>
        </w:rPr>
        <w:t>Promote continuous professional development within the HR team and leadership, identifying key areas for growth and implementing tailored learning solutions.</w:t>
      </w:r>
    </w:p>
    <w:p w14:paraId="2A2D2536" w14:textId="77777777" w:rsidR="00A63112" w:rsidRPr="00A63112" w:rsidRDefault="00A63112" w:rsidP="00A63112">
      <w:pPr>
        <w:numPr>
          <w:ilvl w:val="0"/>
          <w:numId w:val="43"/>
        </w:numPr>
        <w:jc w:val="both"/>
        <w:rPr>
          <w:rFonts w:ascii="Arial" w:hAnsi="Arial" w:cs="Arial"/>
          <w:bCs/>
          <w:sz w:val="20"/>
          <w:szCs w:val="20"/>
        </w:rPr>
      </w:pPr>
      <w:r w:rsidRPr="00A63112">
        <w:rPr>
          <w:rFonts w:ascii="Arial" w:hAnsi="Arial" w:cs="Arial"/>
          <w:bCs/>
          <w:sz w:val="20"/>
          <w:szCs w:val="20"/>
        </w:rPr>
        <w:t>Identify key skills needed in a growing organisation and implement upskilling strategies to future-proof workforce capabilities.</w:t>
      </w:r>
    </w:p>
    <w:p w14:paraId="20F9434A" w14:textId="77777777" w:rsidR="00A63112" w:rsidRPr="00A63112" w:rsidRDefault="00A63112" w:rsidP="00A63112">
      <w:pPr>
        <w:numPr>
          <w:ilvl w:val="0"/>
          <w:numId w:val="43"/>
        </w:numPr>
        <w:jc w:val="both"/>
        <w:rPr>
          <w:rFonts w:ascii="Arial" w:hAnsi="Arial" w:cs="Arial"/>
          <w:bCs/>
          <w:sz w:val="20"/>
          <w:szCs w:val="20"/>
        </w:rPr>
      </w:pPr>
      <w:r w:rsidRPr="00A63112">
        <w:rPr>
          <w:rFonts w:ascii="Arial" w:hAnsi="Arial" w:cs="Arial"/>
          <w:bCs/>
          <w:sz w:val="20"/>
          <w:szCs w:val="20"/>
        </w:rPr>
        <w:t>Encourage knowledge sharing among HRBPs to enhance consistency in HR approaches and drive best practices across the business.</w:t>
      </w:r>
    </w:p>
    <w:p w14:paraId="159729FA" w14:textId="77777777" w:rsidR="00A63112" w:rsidRPr="00A63112" w:rsidRDefault="00A63112" w:rsidP="00A63112">
      <w:pPr>
        <w:numPr>
          <w:ilvl w:val="0"/>
          <w:numId w:val="43"/>
        </w:numPr>
        <w:jc w:val="both"/>
        <w:rPr>
          <w:rFonts w:ascii="Arial" w:hAnsi="Arial" w:cs="Arial"/>
          <w:bCs/>
          <w:sz w:val="20"/>
          <w:szCs w:val="20"/>
        </w:rPr>
      </w:pPr>
      <w:r w:rsidRPr="00A63112">
        <w:rPr>
          <w:rFonts w:ascii="Arial" w:hAnsi="Arial" w:cs="Arial"/>
          <w:bCs/>
          <w:sz w:val="20"/>
          <w:szCs w:val="20"/>
        </w:rPr>
        <w:t>Support leaders in developing their people management skills, fostering a coaching culture that empowers employees and enhances organisational capability.</w:t>
      </w:r>
    </w:p>
    <w:p w14:paraId="3C68A584" w14:textId="77777777" w:rsidR="00A63112" w:rsidRPr="00A63112" w:rsidRDefault="00A63112" w:rsidP="00A63112">
      <w:pPr>
        <w:jc w:val="both"/>
        <w:rPr>
          <w:rFonts w:ascii="Arial" w:hAnsi="Arial" w:cs="Arial"/>
          <w:b/>
          <w:bCs/>
          <w:sz w:val="20"/>
          <w:szCs w:val="20"/>
        </w:rPr>
      </w:pPr>
      <w:r w:rsidRPr="00A63112">
        <w:rPr>
          <w:rFonts w:ascii="Arial" w:hAnsi="Arial" w:cs="Arial"/>
          <w:b/>
          <w:bCs/>
          <w:sz w:val="20"/>
          <w:szCs w:val="20"/>
        </w:rPr>
        <w:t>HR Data &amp; Insights</w:t>
      </w:r>
    </w:p>
    <w:p w14:paraId="15A28442" w14:textId="77777777" w:rsidR="00A63112" w:rsidRPr="00A63112" w:rsidRDefault="00A63112" w:rsidP="00A63112">
      <w:pPr>
        <w:numPr>
          <w:ilvl w:val="0"/>
          <w:numId w:val="44"/>
        </w:numPr>
        <w:jc w:val="both"/>
        <w:rPr>
          <w:rFonts w:ascii="Arial" w:hAnsi="Arial" w:cs="Arial"/>
          <w:bCs/>
          <w:sz w:val="20"/>
          <w:szCs w:val="20"/>
        </w:rPr>
      </w:pPr>
      <w:r w:rsidRPr="00A63112">
        <w:rPr>
          <w:rFonts w:ascii="Arial" w:hAnsi="Arial" w:cs="Arial"/>
          <w:bCs/>
          <w:sz w:val="20"/>
          <w:szCs w:val="20"/>
        </w:rPr>
        <w:lastRenderedPageBreak/>
        <w:t>Use workforce data and HR analytics to track trends, identify potential risks, and proactively address recurring issues through targeted initiatives.</w:t>
      </w:r>
    </w:p>
    <w:p w14:paraId="16B8A083" w14:textId="77777777" w:rsidR="00A63112" w:rsidRPr="00A63112" w:rsidRDefault="00A63112" w:rsidP="00A63112">
      <w:pPr>
        <w:numPr>
          <w:ilvl w:val="0"/>
          <w:numId w:val="44"/>
        </w:numPr>
        <w:jc w:val="both"/>
        <w:rPr>
          <w:rFonts w:ascii="Arial" w:hAnsi="Arial" w:cs="Arial"/>
          <w:bCs/>
          <w:sz w:val="20"/>
          <w:szCs w:val="20"/>
        </w:rPr>
      </w:pPr>
      <w:r w:rsidRPr="00A63112">
        <w:rPr>
          <w:rFonts w:ascii="Arial" w:hAnsi="Arial" w:cs="Arial"/>
          <w:bCs/>
          <w:sz w:val="20"/>
          <w:szCs w:val="20"/>
        </w:rPr>
        <w:t>Develop and deliver regular reports on HR metrics, such as employee turnover, engagement levels, and performance trends, to inform leadership decision-making.</w:t>
      </w:r>
    </w:p>
    <w:p w14:paraId="43F26E79" w14:textId="77777777" w:rsidR="00A63112" w:rsidRPr="00A63112" w:rsidRDefault="00A63112" w:rsidP="00A63112">
      <w:pPr>
        <w:numPr>
          <w:ilvl w:val="0"/>
          <w:numId w:val="44"/>
        </w:numPr>
        <w:jc w:val="both"/>
        <w:rPr>
          <w:rFonts w:ascii="Arial" w:hAnsi="Arial" w:cs="Arial"/>
          <w:bCs/>
          <w:sz w:val="20"/>
          <w:szCs w:val="20"/>
        </w:rPr>
      </w:pPr>
      <w:r w:rsidRPr="00A63112">
        <w:rPr>
          <w:rFonts w:ascii="Arial" w:hAnsi="Arial" w:cs="Arial"/>
          <w:bCs/>
          <w:sz w:val="20"/>
          <w:szCs w:val="20"/>
        </w:rPr>
        <w:t>Ensure HR initiatives are data-driven and aligned with business objectives, measuring their impact and continuously refining strategies based on insights.</w:t>
      </w:r>
    </w:p>
    <w:p w14:paraId="0E83F397" w14:textId="77777777" w:rsidR="00A63112" w:rsidRPr="00A354C5" w:rsidRDefault="00A63112" w:rsidP="00A63112">
      <w:pPr>
        <w:jc w:val="both"/>
        <w:rPr>
          <w:rFonts w:ascii="Arial" w:hAnsi="Arial" w:cs="Arial"/>
          <w:bCs/>
          <w:sz w:val="20"/>
          <w:szCs w:val="20"/>
        </w:rPr>
      </w:pPr>
    </w:p>
    <w:p w14:paraId="6E7E5042" w14:textId="05EEDE0B"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544829B4" w14:textId="77777777" w:rsidR="00A63112" w:rsidRPr="00A63112" w:rsidRDefault="00A63112" w:rsidP="00A63112">
      <w:pPr>
        <w:numPr>
          <w:ilvl w:val="0"/>
          <w:numId w:val="45"/>
        </w:numPr>
        <w:spacing w:after="0" w:line="276" w:lineRule="auto"/>
        <w:jc w:val="both"/>
        <w:rPr>
          <w:rFonts w:ascii="Arial" w:hAnsi="Arial" w:cs="Arial"/>
          <w:bCs/>
          <w:sz w:val="20"/>
          <w:szCs w:val="20"/>
        </w:rPr>
      </w:pPr>
      <w:r w:rsidRPr="00A63112">
        <w:rPr>
          <w:rFonts w:ascii="Arial" w:hAnsi="Arial" w:cs="Arial"/>
          <w:bCs/>
          <w:sz w:val="20"/>
          <w:szCs w:val="20"/>
        </w:rPr>
        <w:t>CIPD Level 5 or above preferred, or equivalent relevant experience.</w:t>
      </w:r>
    </w:p>
    <w:p w14:paraId="6F74D05B" w14:textId="77777777" w:rsidR="00A63112" w:rsidRPr="00A63112" w:rsidRDefault="00A63112" w:rsidP="00A63112">
      <w:pPr>
        <w:numPr>
          <w:ilvl w:val="0"/>
          <w:numId w:val="45"/>
        </w:numPr>
        <w:spacing w:after="0" w:line="276" w:lineRule="auto"/>
        <w:jc w:val="both"/>
        <w:rPr>
          <w:rFonts w:ascii="Arial" w:hAnsi="Arial" w:cs="Arial"/>
          <w:bCs/>
          <w:sz w:val="20"/>
          <w:szCs w:val="20"/>
        </w:rPr>
      </w:pPr>
      <w:r w:rsidRPr="00A63112">
        <w:rPr>
          <w:rFonts w:ascii="Arial" w:hAnsi="Arial" w:cs="Arial"/>
          <w:bCs/>
          <w:sz w:val="20"/>
          <w:szCs w:val="20"/>
        </w:rPr>
        <w:t>Further HR or business-related qualifications desirable.</w:t>
      </w:r>
    </w:p>
    <w:p w14:paraId="1C1060CD"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Proven experience as an HR Business Partner or in a similar HR role within a fast-paced, dynamic environment.</w:t>
      </w:r>
    </w:p>
    <w:p w14:paraId="3B5E687F"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Strong track record of working closely with leadership teams to drive HR strategies and influence decision-making.</w:t>
      </w:r>
    </w:p>
    <w:p w14:paraId="2FDBA9AD"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Experience in change management, workforce planning, and employee relations, with a proven ability to navigate complex HR challenges.</w:t>
      </w:r>
    </w:p>
    <w:p w14:paraId="19092E03" w14:textId="77777777" w:rsid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Demonstrated experience in leveraging HR data and analytics to drive business outcomes.</w:t>
      </w:r>
    </w:p>
    <w:p w14:paraId="04D54ED6"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Excellent relationship-building and stakeholder management skills, with the ability to influence at all levels.</w:t>
      </w:r>
    </w:p>
    <w:p w14:paraId="063E29C2"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Strong analytical skills, with the ability to translate HR data into meaningful insights and actionable strategies.</w:t>
      </w:r>
    </w:p>
    <w:p w14:paraId="19D4ABEE"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Problem-solving and decision-making capabilities, with a proactive and solutions-focused approach.</w:t>
      </w:r>
    </w:p>
    <w:p w14:paraId="0ED482A2" w14:textId="77777777"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High levels of emotional intelligence and adaptability, ensuring effective communication and leadership support.</w:t>
      </w:r>
    </w:p>
    <w:p w14:paraId="2B31E1A9" w14:textId="3C89EBA5" w:rsidR="00A63112" w:rsidRPr="00A63112" w:rsidRDefault="00A63112" w:rsidP="00A63112">
      <w:pPr>
        <w:numPr>
          <w:ilvl w:val="0"/>
          <w:numId w:val="45"/>
        </w:numPr>
        <w:spacing w:before="100" w:beforeAutospacing="1" w:after="100" w:afterAutospacing="1" w:line="240" w:lineRule="auto"/>
        <w:rPr>
          <w:rFonts w:ascii="Arial" w:hAnsi="Arial" w:cs="Arial"/>
          <w:bCs/>
          <w:sz w:val="20"/>
          <w:szCs w:val="20"/>
        </w:rPr>
      </w:pPr>
      <w:r w:rsidRPr="00A63112">
        <w:rPr>
          <w:rFonts w:ascii="Arial" w:hAnsi="Arial" w:cs="Arial"/>
          <w:bCs/>
          <w:sz w:val="20"/>
          <w:szCs w:val="20"/>
        </w:rPr>
        <w:t>Proficiency in HR technology, systems, and reporting tools</w:t>
      </w:r>
    </w:p>
    <w:p w14:paraId="18ACFFDA" w14:textId="77777777" w:rsidR="00FF213A" w:rsidRPr="00FF213A" w:rsidRDefault="00FF213A" w:rsidP="00F45374">
      <w:pPr>
        <w:spacing w:after="0" w:line="276" w:lineRule="auto"/>
        <w:ind w:left="720"/>
        <w:jc w:val="both"/>
        <w:rPr>
          <w:rFonts w:ascii="Arial" w:eastAsia="Times New Roman" w:hAnsi="Arial" w:cs="Arial"/>
          <w:lang w:eastAsia="en-GB"/>
        </w:rPr>
      </w:pPr>
    </w:p>
    <w:p w14:paraId="76C88294" w14:textId="77777777" w:rsidR="003945D8" w:rsidRPr="003945D8" w:rsidRDefault="003945D8" w:rsidP="00F45374">
      <w:pPr>
        <w:jc w:val="both"/>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9E54" w14:textId="77777777" w:rsidR="00804A51" w:rsidRDefault="00804A51" w:rsidP="003945D8">
      <w:pPr>
        <w:spacing w:after="0" w:line="240" w:lineRule="auto"/>
      </w:pPr>
      <w:r>
        <w:separator/>
      </w:r>
    </w:p>
  </w:endnote>
  <w:endnote w:type="continuationSeparator" w:id="0">
    <w:p w14:paraId="662D3F55" w14:textId="77777777" w:rsidR="00804A51" w:rsidRDefault="00804A51"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09812A82" w:rsidR="003945D8" w:rsidRPr="003945D8" w:rsidRDefault="00B76829" w:rsidP="00B76829">
    <w:pPr>
      <w:pStyle w:val="Footer"/>
      <w:pBdr>
        <w:top w:val="single" w:sz="24" w:space="5" w:color="auto"/>
      </w:pBdr>
      <w:tabs>
        <w:tab w:val="right" w:pos="9639"/>
      </w:tabs>
      <w:rPr>
        <w:rFonts w:ascii="Arial" w:hAnsi="Arial" w:cs="Arial"/>
        <w:i/>
        <w:iCs/>
        <w:sz w:val="16"/>
      </w:rPr>
    </w:pPr>
    <w:r>
      <w:rPr>
        <w:i/>
        <w:iCs/>
      </w:rPr>
      <w:t>HR Business Partner</w:t>
    </w:r>
    <w:r w:rsidRPr="002F7582">
      <w:rPr>
        <w:i/>
        <w:iCs/>
      </w:rPr>
      <w:t>_0</w:t>
    </w:r>
    <w:r>
      <w:rPr>
        <w:i/>
        <w:iCs/>
      </w:rPr>
      <w:t>5</w:t>
    </w:r>
    <w:r w:rsidRPr="002F7582">
      <w:rPr>
        <w:i/>
        <w:iCs/>
      </w:rPr>
      <w:t>25_</w:t>
    </w:r>
    <w:r>
      <w:rPr>
        <w:i/>
        <w:iCs/>
      </w:rPr>
      <w:t>PRS</w:t>
    </w:r>
    <w:r w:rsidR="003945D8">
      <w:tab/>
    </w:r>
    <w:r>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F41C" w14:textId="77777777" w:rsidR="00804A51" w:rsidRDefault="00804A51" w:rsidP="003945D8">
      <w:pPr>
        <w:spacing w:after="0" w:line="240" w:lineRule="auto"/>
      </w:pPr>
      <w:r>
        <w:separator/>
      </w:r>
    </w:p>
  </w:footnote>
  <w:footnote w:type="continuationSeparator" w:id="0">
    <w:p w14:paraId="100736C7" w14:textId="77777777" w:rsidR="00804A51" w:rsidRDefault="00804A51"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4736BE46"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6EC"/>
    <w:multiLevelType w:val="multilevel"/>
    <w:tmpl w:val="5DB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D941F9"/>
    <w:multiLevelType w:val="multilevel"/>
    <w:tmpl w:val="6A0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E1B76"/>
    <w:multiLevelType w:val="multilevel"/>
    <w:tmpl w:val="498E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3"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2E5B0859"/>
    <w:multiLevelType w:val="multilevel"/>
    <w:tmpl w:val="E2D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B784C"/>
    <w:multiLevelType w:val="multilevel"/>
    <w:tmpl w:val="766C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21"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3"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4"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01563"/>
    <w:multiLevelType w:val="multilevel"/>
    <w:tmpl w:val="60F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3" w15:restartNumberingAfterBreak="0">
    <w:nsid w:val="57C273E6"/>
    <w:multiLevelType w:val="multilevel"/>
    <w:tmpl w:val="F98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B325BD"/>
    <w:multiLevelType w:val="multilevel"/>
    <w:tmpl w:val="077A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16C92"/>
    <w:multiLevelType w:val="multilevel"/>
    <w:tmpl w:val="EE66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5"/>
  </w:num>
  <w:num w:numId="2" w16cid:durableId="29572228">
    <w:abstractNumId w:val="24"/>
  </w:num>
  <w:num w:numId="3" w16cid:durableId="1508784495">
    <w:abstractNumId w:val="10"/>
  </w:num>
  <w:num w:numId="4" w16cid:durableId="573128232">
    <w:abstractNumId w:val="27"/>
  </w:num>
  <w:num w:numId="5" w16cid:durableId="934678528">
    <w:abstractNumId w:val="38"/>
  </w:num>
  <w:num w:numId="6" w16cid:durableId="230510145">
    <w:abstractNumId w:val="13"/>
  </w:num>
  <w:num w:numId="7" w16cid:durableId="1239482810">
    <w:abstractNumId w:val="41"/>
  </w:num>
  <w:num w:numId="8" w16cid:durableId="266740533">
    <w:abstractNumId w:val="40"/>
  </w:num>
  <w:num w:numId="9" w16cid:durableId="566646090">
    <w:abstractNumId w:val="14"/>
  </w:num>
  <w:num w:numId="10" w16cid:durableId="1898006741">
    <w:abstractNumId w:val="21"/>
  </w:num>
  <w:num w:numId="11" w16cid:durableId="844902910">
    <w:abstractNumId w:val="29"/>
  </w:num>
  <w:num w:numId="12" w16cid:durableId="1120534794">
    <w:abstractNumId w:val="2"/>
  </w:num>
  <w:num w:numId="13" w16cid:durableId="1120686257">
    <w:abstractNumId w:val="26"/>
  </w:num>
  <w:num w:numId="14" w16cid:durableId="1091926447">
    <w:abstractNumId w:val="19"/>
  </w:num>
  <w:num w:numId="15" w16cid:durableId="1363507095">
    <w:abstractNumId w:val="42"/>
  </w:num>
  <w:num w:numId="16" w16cid:durableId="438063985">
    <w:abstractNumId w:val="34"/>
  </w:num>
  <w:num w:numId="17" w16cid:durableId="1897735611">
    <w:abstractNumId w:val="44"/>
  </w:num>
  <w:num w:numId="18" w16cid:durableId="636885327">
    <w:abstractNumId w:val="4"/>
  </w:num>
  <w:num w:numId="19" w16cid:durableId="1441026539">
    <w:abstractNumId w:val="11"/>
  </w:num>
  <w:num w:numId="20" w16cid:durableId="1939018089">
    <w:abstractNumId w:val="22"/>
  </w:num>
  <w:num w:numId="21" w16cid:durableId="976684346">
    <w:abstractNumId w:val="3"/>
  </w:num>
  <w:num w:numId="22" w16cid:durableId="2058433504">
    <w:abstractNumId w:val="6"/>
  </w:num>
  <w:num w:numId="23" w16cid:durableId="1691056690">
    <w:abstractNumId w:val="46"/>
  </w:num>
  <w:num w:numId="24" w16cid:durableId="1308632312">
    <w:abstractNumId w:val="16"/>
  </w:num>
  <w:num w:numId="25" w16cid:durableId="628239987">
    <w:abstractNumId w:val="7"/>
  </w:num>
  <w:num w:numId="26" w16cid:durableId="1580944536">
    <w:abstractNumId w:val="32"/>
  </w:num>
  <w:num w:numId="27" w16cid:durableId="425883332">
    <w:abstractNumId w:val="12"/>
  </w:num>
  <w:num w:numId="28" w16cid:durableId="1830052617">
    <w:abstractNumId w:val="37"/>
  </w:num>
  <w:num w:numId="29" w16cid:durableId="62530391">
    <w:abstractNumId w:val="36"/>
  </w:num>
  <w:num w:numId="30" w16cid:durableId="278684827">
    <w:abstractNumId w:val="20"/>
  </w:num>
  <w:num w:numId="31" w16cid:durableId="150173615">
    <w:abstractNumId w:val="23"/>
  </w:num>
  <w:num w:numId="32" w16cid:durableId="957562955">
    <w:abstractNumId w:val="31"/>
  </w:num>
  <w:num w:numId="33" w16cid:durableId="317029810">
    <w:abstractNumId w:val="28"/>
  </w:num>
  <w:num w:numId="34" w16cid:durableId="199632265">
    <w:abstractNumId w:val="35"/>
  </w:num>
  <w:num w:numId="35" w16cid:durableId="1267348020">
    <w:abstractNumId w:val="39"/>
  </w:num>
  <w:num w:numId="36" w16cid:durableId="1740668394">
    <w:abstractNumId w:val="25"/>
  </w:num>
  <w:num w:numId="37" w16cid:durableId="836921157">
    <w:abstractNumId w:val="5"/>
  </w:num>
  <w:num w:numId="38" w16cid:durableId="1115058757">
    <w:abstractNumId w:val="1"/>
  </w:num>
  <w:num w:numId="39" w16cid:durableId="919869336">
    <w:abstractNumId w:val="18"/>
  </w:num>
  <w:num w:numId="40" w16cid:durableId="718935336">
    <w:abstractNumId w:val="8"/>
  </w:num>
  <w:num w:numId="41" w16cid:durableId="1933850255">
    <w:abstractNumId w:val="9"/>
  </w:num>
  <w:num w:numId="42" w16cid:durableId="1481383651">
    <w:abstractNumId w:val="45"/>
  </w:num>
  <w:num w:numId="43" w16cid:durableId="1580553227">
    <w:abstractNumId w:val="17"/>
  </w:num>
  <w:num w:numId="44" w16cid:durableId="2056928657">
    <w:abstractNumId w:val="43"/>
  </w:num>
  <w:num w:numId="45" w16cid:durableId="1943998162">
    <w:abstractNumId w:val="30"/>
  </w:num>
  <w:num w:numId="46" w16cid:durableId="100146746">
    <w:abstractNumId w:val="0"/>
  </w:num>
  <w:num w:numId="47" w16cid:durableId="43338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C6699"/>
    <w:rsid w:val="000D3F7F"/>
    <w:rsid w:val="000D63B7"/>
    <w:rsid w:val="000E46AB"/>
    <w:rsid w:val="000F3E61"/>
    <w:rsid w:val="000F68BF"/>
    <w:rsid w:val="001211B7"/>
    <w:rsid w:val="001365F3"/>
    <w:rsid w:val="001476B1"/>
    <w:rsid w:val="0015158C"/>
    <w:rsid w:val="0015755F"/>
    <w:rsid w:val="001903F2"/>
    <w:rsid w:val="00193F62"/>
    <w:rsid w:val="001B3258"/>
    <w:rsid w:val="001E0DF9"/>
    <w:rsid w:val="00204221"/>
    <w:rsid w:val="00225C5D"/>
    <w:rsid w:val="00236AA6"/>
    <w:rsid w:val="00260AF2"/>
    <w:rsid w:val="002620D8"/>
    <w:rsid w:val="002675E3"/>
    <w:rsid w:val="002A4EA3"/>
    <w:rsid w:val="002C0A9D"/>
    <w:rsid w:val="002C1843"/>
    <w:rsid w:val="002D38A6"/>
    <w:rsid w:val="002F027D"/>
    <w:rsid w:val="002F0E1A"/>
    <w:rsid w:val="002F10B8"/>
    <w:rsid w:val="003126A9"/>
    <w:rsid w:val="00336371"/>
    <w:rsid w:val="00340899"/>
    <w:rsid w:val="003505B0"/>
    <w:rsid w:val="003945D8"/>
    <w:rsid w:val="003A2CB8"/>
    <w:rsid w:val="003A60CA"/>
    <w:rsid w:val="003A62BC"/>
    <w:rsid w:val="003D024A"/>
    <w:rsid w:val="003D4067"/>
    <w:rsid w:val="003D4EF5"/>
    <w:rsid w:val="003D656E"/>
    <w:rsid w:val="00432116"/>
    <w:rsid w:val="004C02DD"/>
    <w:rsid w:val="004E18D4"/>
    <w:rsid w:val="004E7EA1"/>
    <w:rsid w:val="00507A4C"/>
    <w:rsid w:val="00517543"/>
    <w:rsid w:val="00517C8D"/>
    <w:rsid w:val="005414AD"/>
    <w:rsid w:val="005535E2"/>
    <w:rsid w:val="0055436A"/>
    <w:rsid w:val="00573C7B"/>
    <w:rsid w:val="005770FD"/>
    <w:rsid w:val="005B484C"/>
    <w:rsid w:val="005C3583"/>
    <w:rsid w:val="005C7A56"/>
    <w:rsid w:val="00615FAD"/>
    <w:rsid w:val="00636D93"/>
    <w:rsid w:val="00662BD4"/>
    <w:rsid w:val="00664983"/>
    <w:rsid w:val="00672D7E"/>
    <w:rsid w:val="00687A3C"/>
    <w:rsid w:val="00695BEB"/>
    <w:rsid w:val="006B2206"/>
    <w:rsid w:val="00701434"/>
    <w:rsid w:val="007301A3"/>
    <w:rsid w:val="00737EB2"/>
    <w:rsid w:val="0074729A"/>
    <w:rsid w:val="0075519E"/>
    <w:rsid w:val="007817B7"/>
    <w:rsid w:val="007A5AE1"/>
    <w:rsid w:val="00804A51"/>
    <w:rsid w:val="008532DF"/>
    <w:rsid w:val="008C14F1"/>
    <w:rsid w:val="008F3DCC"/>
    <w:rsid w:val="00956705"/>
    <w:rsid w:val="009569E9"/>
    <w:rsid w:val="009713C7"/>
    <w:rsid w:val="00972879"/>
    <w:rsid w:val="009B4CBD"/>
    <w:rsid w:val="009D1F80"/>
    <w:rsid w:val="009D220C"/>
    <w:rsid w:val="00A239F0"/>
    <w:rsid w:val="00A354C5"/>
    <w:rsid w:val="00A63112"/>
    <w:rsid w:val="00A96FAE"/>
    <w:rsid w:val="00AA0137"/>
    <w:rsid w:val="00AB5FEF"/>
    <w:rsid w:val="00AD2A04"/>
    <w:rsid w:val="00B138A7"/>
    <w:rsid w:val="00B74169"/>
    <w:rsid w:val="00B75C8A"/>
    <w:rsid w:val="00B76829"/>
    <w:rsid w:val="00B94963"/>
    <w:rsid w:val="00BC51DB"/>
    <w:rsid w:val="00C44B36"/>
    <w:rsid w:val="00C50E53"/>
    <w:rsid w:val="00C512AF"/>
    <w:rsid w:val="00C63B34"/>
    <w:rsid w:val="00C663C7"/>
    <w:rsid w:val="00C742E3"/>
    <w:rsid w:val="00C97C8D"/>
    <w:rsid w:val="00CB17DD"/>
    <w:rsid w:val="00CB5D4E"/>
    <w:rsid w:val="00CC1339"/>
    <w:rsid w:val="00CC336D"/>
    <w:rsid w:val="00CD1CC0"/>
    <w:rsid w:val="00CE5885"/>
    <w:rsid w:val="00D05C60"/>
    <w:rsid w:val="00D20AB8"/>
    <w:rsid w:val="00D54FF5"/>
    <w:rsid w:val="00D66F79"/>
    <w:rsid w:val="00D81F93"/>
    <w:rsid w:val="00DA1C6C"/>
    <w:rsid w:val="00DA4F36"/>
    <w:rsid w:val="00DA7F21"/>
    <w:rsid w:val="00DD21FE"/>
    <w:rsid w:val="00DE0FAC"/>
    <w:rsid w:val="00DE11ED"/>
    <w:rsid w:val="00DF29EA"/>
    <w:rsid w:val="00DF5AA3"/>
    <w:rsid w:val="00DF6CED"/>
    <w:rsid w:val="00E01D1C"/>
    <w:rsid w:val="00E04494"/>
    <w:rsid w:val="00E20774"/>
    <w:rsid w:val="00E25713"/>
    <w:rsid w:val="00E3328E"/>
    <w:rsid w:val="00E43C74"/>
    <w:rsid w:val="00E51BF1"/>
    <w:rsid w:val="00E94373"/>
    <w:rsid w:val="00EA6237"/>
    <w:rsid w:val="00EA6C83"/>
    <w:rsid w:val="00EB09A5"/>
    <w:rsid w:val="00EB3A62"/>
    <w:rsid w:val="00EC0C3F"/>
    <w:rsid w:val="00EC1E00"/>
    <w:rsid w:val="00EE1AC7"/>
    <w:rsid w:val="00F02CFB"/>
    <w:rsid w:val="00F04ADA"/>
    <w:rsid w:val="00F06A03"/>
    <w:rsid w:val="00F07593"/>
    <w:rsid w:val="00F45374"/>
    <w:rsid w:val="00F45D31"/>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rmalWeb">
    <w:name w:val="Normal (Web)"/>
    <w:basedOn w:val="Normal"/>
    <w:uiPriority w:val="99"/>
    <w:semiHidden/>
    <w:unhideWhenUsed/>
    <w:rsid w:val="00615F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174808575">
      <w:bodyDiv w:val="1"/>
      <w:marLeft w:val="0"/>
      <w:marRight w:val="0"/>
      <w:marTop w:val="0"/>
      <w:marBottom w:val="0"/>
      <w:divBdr>
        <w:top w:val="none" w:sz="0" w:space="0" w:color="auto"/>
        <w:left w:val="none" w:sz="0" w:space="0" w:color="auto"/>
        <w:bottom w:val="none" w:sz="0" w:space="0" w:color="auto"/>
        <w:right w:val="none" w:sz="0" w:space="0" w:color="auto"/>
      </w:divBdr>
    </w:div>
    <w:div w:id="174853252">
      <w:bodyDiv w:val="1"/>
      <w:marLeft w:val="0"/>
      <w:marRight w:val="0"/>
      <w:marTop w:val="0"/>
      <w:marBottom w:val="0"/>
      <w:divBdr>
        <w:top w:val="none" w:sz="0" w:space="0" w:color="auto"/>
        <w:left w:val="none" w:sz="0" w:space="0" w:color="auto"/>
        <w:bottom w:val="none" w:sz="0" w:space="0" w:color="auto"/>
        <w:right w:val="none" w:sz="0" w:space="0" w:color="auto"/>
      </w:divBdr>
    </w:div>
    <w:div w:id="307828255">
      <w:bodyDiv w:val="1"/>
      <w:marLeft w:val="0"/>
      <w:marRight w:val="0"/>
      <w:marTop w:val="0"/>
      <w:marBottom w:val="0"/>
      <w:divBdr>
        <w:top w:val="none" w:sz="0" w:space="0" w:color="auto"/>
        <w:left w:val="none" w:sz="0" w:space="0" w:color="auto"/>
        <w:bottom w:val="none" w:sz="0" w:space="0" w:color="auto"/>
        <w:right w:val="none" w:sz="0" w:space="0" w:color="auto"/>
      </w:divBdr>
    </w:div>
    <w:div w:id="463501586">
      <w:bodyDiv w:val="1"/>
      <w:marLeft w:val="0"/>
      <w:marRight w:val="0"/>
      <w:marTop w:val="0"/>
      <w:marBottom w:val="0"/>
      <w:divBdr>
        <w:top w:val="none" w:sz="0" w:space="0" w:color="auto"/>
        <w:left w:val="none" w:sz="0" w:space="0" w:color="auto"/>
        <w:bottom w:val="none" w:sz="0" w:space="0" w:color="auto"/>
        <w:right w:val="none" w:sz="0" w:space="0" w:color="auto"/>
      </w:divBdr>
    </w:div>
    <w:div w:id="490028557">
      <w:bodyDiv w:val="1"/>
      <w:marLeft w:val="0"/>
      <w:marRight w:val="0"/>
      <w:marTop w:val="0"/>
      <w:marBottom w:val="0"/>
      <w:divBdr>
        <w:top w:val="none" w:sz="0" w:space="0" w:color="auto"/>
        <w:left w:val="none" w:sz="0" w:space="0" w:color="auto"/>
        <w:bottom w:val="none" w:sz="0" w:space="0" w:color="auto"/>
        <w:right w:val="none" w:sz="0" w:space="0" w:color="auto"/>
      </w:divBdr>
    </w:div>
    <w:div w:id="527177662">
      <w:bodyDiv w:val="1"/>
      <w:marLeft w:val="0"/>
      <w:marRight w:val="0"/>
      <w:marTop w:val="0"/>
      <w:marBottom w:val="0"/>
      <w:divBdr>
        <w:top w:val="none" w:sz="0" w:space="0" w:color="auto"/>
        <w:left w:val="none" w:sz="0" w:space="0" w:color="auto"/>
        <w:bottom w:val="none" w:sz="0" w:space="0" w:color="auto"/>
        <w:right w:val="none" w:sz="0" w:space="0" w:color="auto"/>
      </w:divBdr>
    </w:div>
    <w:div w:id="681979866">
      <w:bodyDiv w:val="1"/>
      <w:marLeft w:val="0"/>
      <w:marRight w:val="0"/>
      <w:marTop w:val="0"/>
      <w:marBottom w:val="0"/>
      <w:divBdr>
        <w:top w:val="none" w:sz="0" w:space="0" w:color="auto"/>
        <w:left w:val="none" w:sz="0" w:space="0" w:color="auto"/>
        <w:bottom w:val="none" w:sz="0" w:space="0" w:color="auto"/>
        <w:right w:val="none" w:sz="0" w:space="0" w:color="auto"/>
      </w:divBdr>
    </w:div>
    <w:div w:id="86147853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967785507">
      <w:bodyDiv w:val="1"/>
      <w:marLeft w:val="0"/>
      <w:marRight w:val="0"/>
      <w:marTop w:val="0"/>
      <w:marBottom w:val="0"/>
      <w:divBdr>
        <w:top w:val="none" w:sz="0" w:space="0" w:color="auto"/>
        <w:left w:val="none" w:sz="0" w:space="0" w:color="auto"/>
        <w:bottom w:val="none" w:sz="0" w:space="0" w:color="auto"/>
        <w:right w:val="none" w:sz="0" w:space="0" w:color="auto"/>
      </w:divBdr>
    </w:div>
    <w:div w:id="1008941499">
      <w:bodyDiv w:val="1"/>
      <w:marLeft w:val="0"/>
      <w:marRight w:val="0"/>
      <w:marTop w:val="0"/>
      <w:marBottom w:val="0"/>
      <w:divBdr>
        <w:top w:val="none" w:sz="0" w:space="0" w:color="auto"/>
        <w:left w:val="none" w:sz="0" w:space="0" w:color="auto"/>
        <w:bottom w:val="none" w:sz="0" w:space="0" w:color="auto"/>
        <w:right w:val="none" w:sz="0" w:space="0" w:color="auto"/>
      </w:divBdr>
    </w:div>
    <w:div w:id="1185635950">
      <w:bodyDiv w:val="1"/>
      <w:marLeft w:val="0"/>
      <w:marRight w:val="0"/>
      <w:marTop w:val="0"/>
      <w:marBottom w:val="0"/>
      <w:divBdr>
        <w:top w:val="none" w:sz="0" w:space="0" w:color="auto"/>
        <w:left w:val="none" w:sz="0" w:space="0" w:color="auto"/>
        <w:bottom w:val="none" w:sz="0" w:space="0" w:color="auto"/>
        <w:right w:val="none" w:sz="0" w:space="0" w:color="auto"/>
      </w:divBdr>
    </w:div>
    <w:div w:id="1261252617">
      <w:bodyDiv w:val="1"/>
      <w:marLeft w:val="0"/>
      <w:marRight w:val="0"/>
      <w:marTop w:val="0"/>
      <w:marBottom w:val="0"/>
      <w:divBdr>
        <w:top w:val="none" w:sz="0" w:space="0" w:color="auto"/>
        <w:left w:val="none" w:sz="0" w:space="0" w:color="auto"/>
        <w:bottom w:val="none" w:sz="0" w:space="0" w:color="auto"/>
        <w:right w:val="none" w:sz="0" w:space="0" w:color="auto"/>
      </w:divBdr>
    </w:div>
    <w:div w:id="1321301988">
      <w:bodyDiv w:val="1"/>
      <w:marLeft w:val="0"/>
      <w:marRight w:val="0"/>
      <w:marTop w:val="0"/>
      <w:marBottom w:val="0"/>
      <w:divBdr>
        <w:top w:val="none" w:sz="0" w:space="0" w:color="auto"/>
        <w:left w:val="none" w:sz="0" w:space="0" w:color="auto"/>
        <w:bottom w:val="none" w:sz="0" w:space="0" w:color="auto"/>
        <w:right w:val="none" w:sz="0" w:space="0" w:color="auto"/>
      </w:divBdr>
    </w:div>
    <w:div w:id="1328090650">
      <w:bodyDiv w:val="1"/>
      <w:marLeft w:val="0"/>
      <w:marRight w:val="0"/>
      <w:marTop w:val="0"/>
      <w:marBottom w:val="0"/>
      <w:divBdr>
        <w:top w:val="none" w:sz="0" w:space="0" w:color="auto"/>
        <w:left w:val="none" w:sz="0" w:space="0" w:color="auto"/>
        <w:bottom w:val="none" w:sz="0" w:space="0" w:color="auto"/>
        <w:right w:val="none" w:sz="0" w:space="0" w:color="auto"/>
      </w:divBdr>
    </w:div>
    <w:div w:id="1442846804">
      <w:bodyDiv w:val="1"/>
      <w:marLeft w:val="0"/>
      <w:marRight w:val="0"/>
      <w:marTop w:val="0"/>
      <w:marBottom w:val="0"/>
      <w:divBdr>
        <w:top w:val="none" w:sz="0" w:space="0" w:color="auto"/>
        <w:left w:val="none" w:sz="0" w:space="0" w:color="auto"/>
        <w:bottom w:val="none" w:sz="0" w:space="0" w:color="auto"/>
        <w:right w:val="none" w:sz="0" w:space="0" w:color="auto"/>
      </w:divBdr>
    </w:div>
    <w:div w:id="1524635594">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572038260">
      <w:bodyDiv w:val="1"/>
      <w:marLeft w:val="0"/>
      <w:marRight w:val="0"/>
      <w:marTop w:val="0"/>
      <w:marBottom w:val="0"/>
      <w:divBdr>
        <w:top w:val="none" w:sz="0" w:space="0" w:color="auto"/>
        <w:left w:val="none" w:sz="0" w:space="0" w:color="auto"/>
        <w:bottom w:val="none" w:sz="0" w:space="0" w:color="auto"/>
        <w:right w:val="none" w:sz="0" w:space="0" w:color="auto"/>
      </w:divBdr>
    </w:div>
    <w:div w:id="1615478702">
      <w:bodyDiv w:val="1"/>
      <w:marLeft w:val="0"/>
      <w:marRight w:val="0"/>
      <w:marTop w:val="0"/>
      <w:marBottom w:val="0"/>
      <w:divBdr>
        <w:top w:val="none" w:sz="0" w:space="0" w:color="auto"/>
        <w:left w:val="none" w:sz="0" w:space="0" w:color="auto"/>
        <w:bottom w:val="none" w:sz="0" w:space="0" w:color="auto"/>
        <w:right w:val="none" w:sz="0" w:space="0" w:color="auto"/>
      </w:divBdr>
    </w:div>
    <w:div w:id="2011135188">
      <w:bodyDiv w:val="1"/>
      <w:marLeft w:val="0"/>
      <w:marRight w:val="0"/>
      <w:marTop w:val="0"/>
      <w:marBottom w:val="0"/>
      <w:divBdr>
        <w:top w:val="none" w:sz="0" w:space="0" w:color="auto"/>
        <w:left w:val="none" w:sz="0" w:space="0" w:color="auto"/>
        <w:bottom w:val="none" w:sz="0" w:space="0" w:color="auto"/>
        <w:right w:val="none" w:sz="0" w:space="0" w:color="auto"/>
      </w:divBdr>
    </w:div>
    <w:div w:id="2102024868">
      <w:bodyDiv w:val="1"/>
      <w:marLeft w:val="0"/>
      <w:marRight w:val="0"/>
      <w:marTop w:val="0"/>
      <w:marBottom w:val="0"/>
      <w:divBdr>
        <w:top w:val="none" w:sz="0" w:space="0" w:color="auto"/>
        <w:left w:val="none" w:sz="0" w:space="0" w:color="auto"/>
        <w:bottom w:val="none" w:sz="0" w:space="0" w:color="auto"/>
        <w:right w:val="none" w:sz="0" w:space="0" w:color="auto"/>
      </w:divBdr>
    </w:div>
    <w:div w:id="2122719888">
      <w:bodyDiv w:val="1"/>
      <w:marLeft w:val="0"/>
      <w:marRight w:val="0"/>
      <w:marTop w:val="0"/>
      <w:marBottom w:val="0"/>
      <w:divBdr>
        <w:top w:val="none" w:sz="0" w:space="0" w:color="auto"/>
        <w:left w:val="none" w:sz="0" w:space="0" w:color="auto"/>
        <w:bottom w:val="none" w:sz="0" w:space="0" w:color="auto"/>
        <w:right w:val="none" w:sz="0" w:space="0" w:color="auto"/>
      </w:divBdr>
    </w:div>
    <w:div w:id="21438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Georgia Ellison</cp:lastModifiedBy>
  <cp:revision>2</cp:revision>
  <dcterms:created xsi:type="dcterms:W3CDTF">2025-05-14T15:17:00Z</dcterms:created>
  <dcterms:modified xsi:type="dcterms:W3CDTF">2025-05-14T15:17:00Z</dcterms:modified>
</cp:coreProperties>
</file>